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BC" w:rsidRPr="00F826BC" w:rsidRDefault="00F826BC" w:rsidP="007E3974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F826BC">
        <w:rPr>
          <w:rFonts w:ascii="Times New Roman" w:hAnsi="Times New Roman" w:cs="Times New Roman"/>
          <w:sz w:val="28"/>
          <w:szCs w:val="28"/>
        </w:rPr>
        <w:t>УДК 621.992.7</w:t>
      </w:r>
    </w:p>
    <w:p w:rsidR="00F826BC" w:rsidRPr="00F826BC" w:rsidRDefault="00F826BC" w:rsidP="007E3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26BC">
        <w:rPr>
          <w:rFonts w:ascii="Times New Roman" w:hAnsi="Times New Roman" w:cs="Times New Roman"/>
          <w:b/>
          <w:sz w:val="28"/>
          <w:szCs w:val="28"/>
        </w:rPr>
        <w:t>Брухаль</w:t>
      </w:r>
      <w:proofErr w:type="spellEnd"/>
      <w:r w:rsidRPr="00F826BC">
        <w:rPr>
          <w:rFonts w:ascii="Times New Roman" w:hAnsi="Times New Roman" w:cs="Times New Roman"/>
          <w:b/>
          <w:sz w:val="28"/>
          <w:szCs w:val="28"/>
        </w:rPr>
        <w:t xml:space="preserve"> А. В., </w:t>
      </w:r>
      <w:proofErr w:type="spellStart"/>
      <w:r w:rsidRPr="00F826BC">
        <w:rPr>
          <w:rFonts w:ascii="Times New Roman" w:hAnsi="Times New Roman" w:cs="Times New Roman"/>
          <w:b/>
          <w:sz w:val="28"/>
          <w:szCs w:val="28"/>
        </w:rPr>
        <w:t>студ</w:t>
      </w:r>
      <w:proofErr w:type="spellEnd"/>
      <w:r w:rsidRPr="00F826BC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F826BC">
        <w:rPr>
          <w:rFonts w:ascii="Times New Roman" w:hAnsi="Times New Roman" w:cs="Times New Roman"/>
          <w:i/>
          <w:sz w:val="28"/>
          <w:szCs w:val="28"/>
        </w:rPr>
        <w:t xml:space="preserve">наук. </w:t>
      </w:r>
      <w:proofErr w:type="spellStart"/>
      <w:r w:rsidRPr="00F826BC">
        <w:rPr>
          <w:rFonts w:ascii="Times New Roman" w:hAnsi="Times New Roman" w:cs="Times New Roman"/>
          <w:i/>
          <w:sz w:val="28"/>
          <w:szCs w:val="28"/>
        </w:rPr>
        <w:t>кер</w:t>
      </w:r>
      <w:proofErr w:type="spellEnd"/>
      <w:r w:rsidRPr="00F826BC">
        <w:rPr>
          <w:rFonts w:ascii="Times New Roman" w:hAnsi="Times New Roman" w:cs="Times New Roman"/>
          <w:i/>
          <w:sz w:val="28"/>
          <w:szCs w:val="28"/>
        </w:rPr>
        <w:t>.</w:t>
      </w:r>
      <w:r w:rsidRPr="00F826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26BC">
        <w:rPr>
          <w:rFonts w:ascii="Times New Roman" w:hAnsi="Times New Roman" w:cs="Times New Roman"/>
          <w:i/>
          <w:sz w:val="28"/>
          <w:szCs w:val="28"/>
        </w:rPr>
        <w:t>Бецко</w:t>
      </w:r>
      <w:proofErr w:type="spellEnd"/>
      <w:r w:rsidRPr="00F826BC">
        <w:rPr>
          <w:rFonts w:ascii="Times New Roman" w:hAnsi="Times New Roman" w:cs="Times New Roman"/>
          <w:i/>
          <w:sz w:val="28"/>
          <w:szCs w:val="28"/>
        </w:rPr>
        <w:t xml:space="preserve"> Ю. М., ст. </w:t>
      </w:r>
      <w:proofErr w:type="spellStart"/>
      <w:r w:rsidRPr="00F826BC">
        <w:rPr>
          <w:rFonts w:ascii="Times New Roman" w:hAnsi="Times New Roman" w:cs="Times New Roman"/>
          <w:i/>
          <w:sz w:val="28"/>
          <w:szCs w:val="28"/>
        </w:rPr>
        <w:t>викл</w:t>
      </w:r>
      <w:proofErr w:type="spellEnd"/>
      <w:r w:rsidRPr="00F826BC">
        <w:rPr>
          <w:rFonts w:ascii="Times New Roman" w:hAnsi="Times New Roman" w:cs="Times New Roman"/>
          <w:i/>
          <w:sz w:val="28"/>
          <w:szCs w:val="28"/>
        </w:rPr>
        <w:t>.</w:t>
      </w:r>
    </w:p>
    <w:p w:rsidR="00F826BC" w:rsidRPr="00F826BC" w:rsidRDefault="00F826BC" w:rsidP="007E3974">
      <w:pPr>
        <w:spacing w:after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26BC">
        <w:rPr>
          <w:rFonts w:ascii="Times New Roman" w:hAnsi="Times New Roman" w:cs="Times New Roman"/>
          <w:i/>
          <w:sz w:val="28"/>
          <w:szCs w:val="28"/>
        </w:rPr>
        <w:t>Національний технічний університет України «Київський політехнічний інститут</w:t>
      </w:r>
      <w:r w:rsidRPr="00F826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826BC">
        <w:rPr>
          <w:rFonts w:ascii="Times New Roman" w:hAnsi="Times New Roman" w:cs="Times New Roman"/>
          <w:i/>
          <w:sz w:val="28"/>
          <w:szCs w:val="28"/>
        </w:rPr>
        <w:t>ім. І. Сікорського»</w:t>
      </w:r>
    </w:p>
    <w:p w:rsidR="00FC602F" w:rsidRPr="00F826BC" w:rsidRDefault="00F826BC" w:rsidP="007E397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6BC">
        <w:rPr>
          <w:rFonts w:ascii="Times New Roman" w:eastAsia="Times New Roman" w:hAnsi="Times New Roman" w:cs="Times New Roman"/>
          <w:b/>
          <w:sz w:val="28"/>
          <w:szCs w:val="28"/>
        </w:rPr>
        <w:t>ЗНИЖЕННЯ СОБІВАРТОСТІ ОБРОБЛЕННЯ ОПТИМАЛЬНИМ ВИБОРОМ СИСТЕМИ ОХОЛОДЖЕННЯ</w:t>
      </w:r>
    </w:p>
    <w:p w:rsidR="00482DD4" w:rsidRPr="00F826BC" w:rsidRDefault="00482DD4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Одне з головних завдань в сучасному обробленні металів різанням – це охолодження різального інструмента і швидке видалення стружки із зони різання. Мастильно-охолоджувальні середовища при їх застосуванні в зоні різання знижують температуру елементів технологічної системи, зменшують тертя,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попереджають появу автоколивань, </w:t>
      </w:r>
      <w:proofErr w:type="spellStart"/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наростоутворення</w:t>
      </w:r>
      <w:proofErr w:type="spellEnd"/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підвищують якість обробленої поверхні, збільшують ресурс різального інструменту. При на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лежній увазі до цього питання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можливо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значно скоротити собів</w:t>
      </w:r>
      <w:r w:rsidR="00E55E48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артість механічного оброблення.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збільшенням потужностей верстатів, інтенсифікацією режиму різання, появою високих частот обертання робочих органів, задача подачі мастильно-охолоджувальних середовищ до різального клину інструмента</w:t>
      </w:r>
      <w:r w:rsidR="00813C0F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виявилася не таким про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 питанням.</w:t>
      </w:r>
    </w:p>
    <w:p w:rsidR="008F1DA0" w:rsidRPr="00F826BC" w:rsidRDefault="009D520C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верстатах використовують кілька 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способів охолодження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різальних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охолодження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рідинами що подаються на передню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поверхню інструменту; рідиною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подається під високим тиском; охолодження рідинами, розпиленими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струмені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стисненого повітря;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охолодження рідинами 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низько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ї температури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; охолодження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рідинами що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подаются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зони 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різання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інструмент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одночасне 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охолодження зони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різання двома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рідин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ами; внутрішнє охолодження різальної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інструменту; охолодження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зони різання стисненим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повітря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; ох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олодження 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зони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різання холодним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повітря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охолодження 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зони 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різання 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іонізованим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повітрям; 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охолодження 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рідкою вуглекислотою або вуглекислим газом</w:t>
      </w:r>
      <w:r w:rsidR="00F20266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55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Оптимальне використання МОР продиктоване не тільки їх високою вартіс</w:t>
      </w:r>
      <w:r w:rsidR="00813C0F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F06302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ю, а й екологічними нормами, які посилюються з кожним роком.</w:t>
      </w:r>
      <w:r w:rsidR="00813C0F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Виробники верстатів намагаються ефективно вирішувати зазначені проблеми, для чого розробляють різні конструкції систем охолодження робочої зони. Розглянемо</w:t>
      </w:r>
      <w:r w:rsidR="00B75BF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втілення деяких </w:t>
      </w:r>
      <w:proofErr w:type="spellStart"/>
      <w:r w:rsidR="00B75BF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констуктивних</w:t>
      </w:r>
      <w:proofErr w:type="spellEnd"/>
      <w:r w:rsidR="00B75BF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рішень на верстатах марки </w:t>
      </w:r>
      <w:proofErr w:type="spellStart"/>
      <w:r w:rsidR="00B75BF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="00B75BF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1DA0" w:rsidRPr="00F826BC" w:rsidRDefault="008F1DA0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Кільцевий механізм подачі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мастильно-охолоджувальної рідини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є стандартним пристроєм для верстатів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серії VM і VF, забезпечує подачу охолоджувальної рідини в зону різання методом полива, з  одночасним видаленням стружки, яка утворюється під час різання.</w:t>
      </w:r>
    </w:p>
    <w:tbl>
      <w:tblPr>
        <w:tblW w:w="0" w:type="auto"/>
        <w:tblInd w:w="596" w:type="dxa"/>
        <w:tblLook w:val="0000"/>
      </w:tblPr>
      <w:tblGrid>
        <w:gridCol w:w="8159"/>
      </w:tblGrid>
      <w:tr w:rsidR="003E2A1B" w:rsidRPr="00F826BC" w:rsidTr="00E55E48">
        <w:trPr>
          <w:trHeight w:val="330"/>
        </w:trPr>
        <w:tc>
          <w:tcPr>
            <w:tcW w:w="8159" w:type="dxa"/>
          </w:tcPr>
          <w:p w:rsidR="003E2A1B" w:rsidRPr="00F826BC" w:rsidRDefault="003E2A1B" w:rsidP="00E55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826BC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2654820" cy="2702321"/>
                  <wp:effectExtent l="19050" t="0" r="0" b="0"/>
                  <wp:docPr id="11" name="Рисунок 1" descr="F:\КПІ\Диплом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КПІ\Дипло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437" cy="270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E2A1B" w:rsidRPr="00F826BC" w:rsidTr="007E3974">
        <w:trPr>
          <w:trHeight w:val="345"/>
        </w:trPr>
        <w:tc>
          <w:tcPr>
            <w:tcW w:w="8159" w:type="dxa"/>
          </w:tcPr>
          <w:p w:rsidR="003E2A1B" w:rsidRPr="00F826BC" w:rsidRDefault="003E2A1B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Рис. 1. Кільцевий механізм подачі мастильно-охолоджувальної рідини </w:t>
            </w:r>
            <w:r w:rsidRPr="00F82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Haas</w:t>
            </w:r>
          </w:p>
        </w:tc>
      </w:tr>
    </w:tbl>
    <w:p w:rsidR="002333BB" w:rsidRPr="00F826BC" w:rsidRDefault="008F1DA0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кільцевого механізму подачі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мастильно-охолоджувальної рідини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являє собою значне покращення в порівнянні з традиційними системами, в яких подача охолоджувальної рідини відбувається за допомогою шлангів</w:t>
      </w:r>
      <w:r w:rsidR="002333BB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Точно відрегульовані наконечники форсунок кільця направляють струмінь охолодженої рідини на інструмент під різними кутами. </w:t>
      </w:r>
      <w:r w:rsidR="00F826BC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Кільцевий </w:t>
      </w:r>
      <w:r w:rsidR="002333BB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механізм подачі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мастильно-охолоджувальної рідини </w:t>
      </w:r>
      <w:r w:rsidR="002333BB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представляє собою основну систему подачі охолоджуючої рідини,</w:t>
      </w:r>
      <w:r w:rsidR="00F826BC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</w:t>
      </w:r>
      <w:r w:rsidR="002333BB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існує ще декілька методів охолодження. Наприклад, програмуюча форсунка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мастильно-охолоджувальної рідини </w:t>
      </w:r>
      <w:r w:rsidR="002333BB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“P-Cool” може встановлюватися в різних положеннях в залежності від довжини вибраного інструмента.</w:t>
      </w:r>
    </w:p>
    <w:p w:rsidR="00417EA3" w:rsidRPr="00F826BC" w:rsidRDefault="002333BB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Ще одним ефективним методом подачі охолоджувальної рідини в зону різання є подача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мастильно-охолоджувальної рідини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високим тиском через наконечник інструмента. Система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подачі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мастильно-охолоджувальної рідини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шпиндель (Through-Spindle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Coolant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TSC), ефективність якої особливо висока при просвердлюванн</w:t>
      </w:r>
      <w:r w:rsidR="00813C0F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 глибоких отворів або при фрезе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руванні глибоких пазів, існує в двох конфігураціях </w:t>
      </w:r>
      <w:r w:rsidR="00FF551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залежності від тиску 2МПа або 7МПа.</w:t>
      </w:r>
    </w:p>
    <w:p w:rsidR="00FF5517" w:rsidRPr="00F826BC" w:rsidRDefault="00FF5517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механічних цехах, які використовують сучасні твердосплавні інструменти з покращеним покриттям для різання матеріалів без використання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мастильно-охолоджувальної рідини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існую суттєва ймовірність повторного різання стружки, яка не була своєчасно видалена із зони різання (а це являється основною причиною передчасного зносу інструмента). Для рішення цієї проблеми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пропонує додаткову систему подачі струменя повітря через інструмент (в якості доповнення до системи TSC), яка видаляє стружку із зони оброблення, перед тим як</w:t>
      </w:r>
      <w:r w:rsidR="00171D19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вона може знову потрапити під ріжучий інструмент. Це особливо важливо при обробці глибоких порожнин. </w:t>
      </w:r>
    </w:p>
    <w:tbl>
      <w:tblPr>
        <w:tblW w:w="0" w:type="auto"/>
        <w:tblInd w:w="108" w:type="dxa"/>
        <w:tblLook w:val="0000"/>
      </w:tblPr>
      <w:tblGrid>
        <w:gridCol w:w="4760"/>
        <w:gridCol w:w="4986"/>
      </w:tblGrid>
      <w:tr w:rsidR="00F826BC" w:rsidRPr="00F826BC" w:rsidTr="00F826BC">
        <w:trPr>
          <w:trHeight w:val="255"/>
        </w:trPr>
        <w:tc>
          <w:tcPr>
            <w:tcW w:w="4844" w:type="dxa"/>
          </w:tcPr>
          <w:p w:rsidR="00F826BC" w:rsidRPr="00F826BC" w:rsidRDefault="00F826BC" w:rsidP="00F8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2724150" cy="2415666"/>
                  <wp:effectExtent l="19050" t="0" r="0" b="0"/>
                  <wp:docPr id="1" name="Рисунок 2" descr="F:\КПІ\Диплом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КПІ\Диплом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669" cy="241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</w:tcPr>
          <w:p w:rsidR="00F826BC" w:rsidRPr="00F826BC" w:rsidRDefault="00F826BC" w:rsidP="00F82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3003223" cy="2266950"/>
                  <wp:effectExtent l="19050" t="0" r="6677" b="0"/>
                  <wp:docPr id="2" name="Рисунок 3" descr="F:\КПІ\Диплом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КПІ\Диплом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978" cy="22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6BC" w:rsidRPr="00F826BC" w:rsidTr="007E3974">
        <w:trPr>
          <w:trHeight w:val="300"/>
        </w:trPr>
        <w:tc>
          <w:tcPr>
            <w:tcW w:w="4844" w:type="dxa"/>
          </w:tcPr>
          <w:p w:rsidR="00F826BC" w:rsidRPr="00F826BC" w:rsidRDefault="00F826BC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Рис. 2. Додаткова система подачі струменя повітря через інструмент</w:t>
            </w:r>
          </w:p>
        </w:tc>
        <w:tc>
          <w:tcPr>
            <w:tcW w:w="4902" w:type="dxa"/>
          </w:tcPr>
          <w:p w:rsidR="00F826BC" w:rsidRPr="00F826BC" w:rsidRDefault="00F826BC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Рис. 3. Автоматична повітряна пушка </w:t>
            </w:r>
            <w:r w:rsidRPr="00F826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Haas</w:t>
            </w:r>
          </w:p>
        </w:tc>
      </w:tr>
    </w:tbl>
    <w:p w:rsidR="00171D19" w:rsidRPr="00F826BC" w:rsidRDefault="00171D19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Аналогічну функцію виконує автоматична повітряна пушка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. Ця система є ідеальною при використанні невеликих інструментів, які непридатні  для подачі пов</w:t>
      </w:r>
      <w:r w:rsid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ітря через отвір в інструменті.</w:t>
      </w:r>
    </w:p>
    <w:p w:rsidR="00171D19" w:rsidRPr="00F826BC" w:rsidRDefault="00171D19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випадків, коли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масти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льно-охолоджувальної рідини використовувати неможна, але необхідно забезпечувати змащування інструмента, підходить система подачі мінімальної кількості  масти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 </w:t>
      </w:r>
      <w:proofErr w:type="spellStart"/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Haas</w:t>
      </w:r>
      <w:proofErr w:type="spellEnd"/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. Ця інноваційна система розпилює чітко відміряну кількість мастила за допомогою повітряного струменя і подає його на ріжучі кромки інструмента. Фактично нанесена кількість мастильно-охолоджувальної рідини в такому випадку буде дуже мала, настільки, що її неможливо побачити.</w:t>
      </w:r>
      <w:r w:rsid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перевагою системи подачі мінімальної кількості мастила є те, що вона витрачає незна</w:t>
      </w:r>
      <w:r w:rsidR="00813C0F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чну частку мастильного матеріалу</w:t>
      </w:r>
      <w:r w:rsidR="00D961AE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порівнянні зі звичайними випадками використання мастильно-охолоджувальної рідини. Крім цього, управління струменем повітря і охолоджувальною рідиною здійснюється окремо, це означає, що користувачі можуть самостійно регулювати пропорцію мастильно-охолоджувальної рідини для оптимального охолодження в певних режимах роботи.</w:t>
      </w:r>
    </w:p>
    <w:p w:rsidR="005E0F2C" w:rsidRPr="00F826BC" w:rsidRDefault="005E0F2C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Окрім базових можливостей, на кожному верстаті можна</w:t>
      </w:r>
      <w:r w:rsidR="00EF7924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легко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встановлювати </w:t>
      </w:r>
      <w:r w:rsidR="00EF7924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зразки механізмів подачі мастильних середовищ. Наведемо приклад таких зразків (рис. 4)</w:t>
      </w:r>
    </w:p>
    <w:p w:rsidR="00EF7924" w:rsidRPr="00F826BC" w:rsidRDefault="00EF7924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Технологія охолодження і змащування «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InSpray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різального інструменту розпорошеними СОЖ при механічному обробленні 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лезвим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інструментом полягає в створенні високошвидкісного потоку дрібнодисперсного струменя МОР і подачі її в зону різання за допомогою пристрою для розпилення. Розпорошена МОР, потрапляючи в зону різання випаровується і відбирає велику кількість тепла від інструменту і заготовки, ти</w:t>
      </w:r>
      <w:r w:rsid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м самим охолоджує зону контакту,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наявність високої швидкості потоку дозволяє видаляти стружку із зони різання.</w:t>
      </w:r>
    </w:p>
    <w:p w:rsidR="00EF7924" w:rsidRPr="00F826BC" w:rsidRDefault="00EF7924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Технологія охолодження </w:t>
      </w:r>
      <w:r w:rsidR="00F826BC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різального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інструменту охолодженим іонізованим повітрям</w:t>
      </w:r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InAir</w:t>
      </w:r>
      <w:proofErr w:type="spellEnd"/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полягає в створенні потоку іонізованого пов</w:t>
      </w:r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ітря з температурою до мінус 15°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С і подачі його в зону різання за допомогою пристрою охолодження і іонізації</w:t>
      </w:r>
      <w:r w:rsid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в повітрі, через появу негативної температури, сконденсованих частинок рідин забезпечує</w:t>
      </w:r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іонізацію повітря (</w:t>
      </w:r>
      <w:proofErr w:type="spellStart"/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баллоелектрични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ефект), мастильну функцію.</w:t>
      </w:r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іонізації сприяє появі окисн</w:t>
      </w:r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плівок з оксидів і </w:t>
      </w:r>
      <w:proofErr w:type="spellStart"/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гидроксиді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поверхнях, що труться, які при руйнуванні забезпечують ефект мастила і електричної поля</w:t>
      </w:r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ризації, яка зменшує </w:t>
      </w:r>
      <w:proofErr w:type="spellStart"/>
      <w:r w:rsidR="00DF02B7"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адгезійний</w:t>
      </w:r>
      <w:proofErr w:type="spellEnd"/>
      <w:r w:rsid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 в контактній зоні.</w:t>
      </w:r>
    </w:p>
    <w:p w:rsidR="00DF02B7" w:rsidRDefault="00DF02B7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Технологія охолодження ріжучого інструменту охолодженим іонізованим повітрям з можливістю подачі МОР «</w:t>
      </w:r>
      <w:proofErr w:type="spellStart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InAirS</w:t>
      </w:r>
      <w:proofErr w:type="spellEnd"/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» полягає в створенні потоку іонізованого повітря з температурою до мінус 10°С з одночасним розпи</w:t>
      </w:r>
      <w:r w:rsidR="00E55E48">
        <w:rPr>
          <w:rFonts w:ascii="Times New Roman" w:eastAsia="Times New Roman" w:hAnsi="Times New Roman" w:cs="Times New Roman"/>
          <w:sz w:val="28"/>
          <w:szCs w:val="28"/>
          <w:lang w:eastAsia="uk-UA"/>
        </w:rPr>
        <w:t>ленням МОР і подачі його в зону</w:t>
      </w: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1418D" w:rsidRPr="00F826BC" w:rsidRDefault="0031418D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Ind w:w="-109" w:type="dxa"/>
        <w:tblLook w:val="0000"/>
      </w:tblPr>
      <w:tblGrid>
        <w:gridCol w:w="3504"/>
        <w:gridCol w:w="3523"/>
        <w:gridCol w:w="2936"/>
      </w:tblGrid>
      <w:tr w:rsidR="005E0F2C" w:rsidRPr="00F826BC" w:rsidTr="002A3121">
        <w:trPr>
          <w:trHeight w:val="3753"/>
        </w:trPr>
        <w:tc>
          <w:tcPr>
            <w:tcW w:w="3505" w:type="dxa"/>
          </w:tcPr>
          <w:p w:rsidR="005E0F2C" w:rsidRPr="00F826BC" w:rsidRDefault="005E0F2C" w:rsidP="002A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26BC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485642" cy="2275114"/>
                  <wp:effectExtent l="19050" t="0" r="258" b="0"/>
                  <wp:docPr id="8" name="Рисунок 1" descr="http://itc.pnzgu.ru/files/itc.pnzgu.ru/raspylitel/r00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c.pnzgu.ru/files/itc.pnzgu.ru/raspylitel/r00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82" cy="228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5E0F2C" w:rsidRPr="00F826BC" w:rsidRDefault="005E0F2C" w:rsidP="002A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26BC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613807" cy="2288507"/>
                  <wp:effectExtent l="19050" t="0" r="5443" b="0"/>
                  <wp:docPr id="9" name="Рисунок 4" descr="http://itc.pnzgu.ru/files/itc.pnzgu.ru/raspylitel/r00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tc.pnzgu.ru/files/itc.pnzgu.ru/raspylitel/r00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794" cy="2294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6" w:type="dxa"/>
          </w:tcPr>
          <w:p w:rsidR="005E0F2C" w:rsidRPr="00F826BC" w:rsidRDefault="005E0F2C" w:rsidP="002A31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26BC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243693" cy="2271090"/>
                  <wp:effectExtent l="19050" t="0" r="0" b="0"/>
                  <wp:docPr id="10" name="Рисунок 7" descr="http://itc.pnzgu.ru/files/itc.pnzgu.ru/truba_s_raspylitelem/as00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tc.pnzgu.ru/files/itc.pnzgu.ru/truba_s_raspylitelem/as00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274" cy="2270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F2C" w:rsidRPr="00F826BC" w:rsidTr="007E3974">
        <w:trPr>
          <w:trHeight w:val="1118"/>
        </w:trPr>
        <w:tc>
          <w:tcPr>
            <w:tcW w:w="3505" w:type="dxa"/>
          </w:tcPr>
          <w:p w:rsidR="005E0F2C" w:rsidRPr="00F826BC" w:rsidRDefault="00F826BC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E2A1B"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розпилювач </w:t>
            </w:r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InSpray</w:t>
            </w:r>
            <w:proofErr w:type="spellEnd"/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E2A1B"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 з магнітною основою і управлінням</w:t>
            </w:r>
          </w:p>
        </w:tc>
        <w:tc>
          <w:tcPr>
            <w:tcW w:w="3523" w:type="dxa"/>
          </w:tcPr>
          <w:p w:rsidR="005E0F2C" w:rsidRPr="00F826BC" w:rsidRDefault="00F826BC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E2A1B"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пристрій </w:t>
            </w:r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InAir</w:t>
            </w:r>
            <w:proofErr w:type="spellEnd"/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6" w:type="dxa"/>
          </w:tcPr>
          <w:p w:rsidR="005E0F2C" w:rsidRPr="00F826BC" w:rsidRDefault="00F826BC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E2A1B"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пристрій </w:t>
            </w:r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>InAirS</w:t>
            </w:r>
            <w:proofErr w:type="spellEnd"/>
            <w:r w:rsidR="005E0F2C"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E2A1B" w:rsidRPr="00F826BC">
              <w:rPr>
                <w:rFonts w:ascii="Times New Roman" w:hAnsi="Times New Roman" w:cs="Times New Roman"/>
                <w:sz w:val="28"/>
                <w:szCs w:val="28"/>
              </w:rPr>
              <w:t>з магнітною основою і управлінням</w:t>
            </w:r>
          </w:p>
        </w:tc>
      </w:tr>
      <w:tr w:rsidR="003E2A1B" w:rsidRPr="00F826BC" w:rsidTr="007E3974">
        <w:trPr>
          <w:trHeight w:val="396"/>
        </w:trPr>
        <w:tc>
          <w:tcPr>
            <w:tcW w:w="9964" w:type="dxa"/>
            <w:gridSpan w:val="3"/>
          </w:tcPr>
          <w:p w:rsidR="003E2A1B" w:rsidRPr="00F826BC" w:rsidRDefault="003E2A1B" w:rsidP="007E3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F826BC" w:rsidRPr="00F826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26BC">
              <w:rPr>
                <w:rFonts w:ascii="Times New Roman" w:hAnsi="Times New Roman" w:cs="Times New Roman"/>
                <w:sz w:val="28"/>
                <w:szCs w:val="28"/>
              </w:rPr>
              <w:t>. Змінні пристрої для подачі мастильно-охолоджувальних середовищ</w:t>
            </w:r>
          </w:p>
        </w:tc>
      </w:tr>
    </w:tbl>
    <w:p w:rsidR="00DF02B7" w:rsidRPr="00F826BC" w:rsidRDefault="00DF02B7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26B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при проектуванні технологічної операції необхідно правильно призначити метод охолодження різального інструмента. Від цього значною мірою буде залежати собівартість її виконання. Але наразі не існує розроблених правил і алгоритмів, які б давали чіткі відповіді на ці питання.</w:t>
      </w:r>
    </w:p>
    <w:p w:rsidR="00F826BC" w:rsidRPr="00F826BC" w:rsidRDefault="00F826BC" w:rsidP="00F8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26BC" w:rsidRPr="007E3974" w:rsidRDefault="00F826BC" w:rsidP="007E3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974">
        <w:rPr>
          <w:rFonts w:ascii="Times New Roman" w:hAnsi="Times New Roman" w:cs="Times New Roman"/>
          <w:sz w:val="24"/>
          <w:szCs w:val="24"/>
        </w:rPr>
        <w:t>Список використаних джерел:</w:t>
      </w:r>
    </w:p>
    <w:p w:rsidR="007403DA" w:rsidRPr="007E3974" w:rsidRDefault="00F826BC" w:rsidP="007E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proofErr w:type="spellStart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Международный</w:t>
      </w:r>
      <w:proofErr w:type="spellEnd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информационно-технический</w:t>
      </w:r>
      <w:proofErr w:type="spellEnd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журнал №3 </w:t>
      </w:r>
      <w:r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Металлообработка</w:t>
      </w:r>
      <w:proofErr w:type="spellEnd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Оборудование</w:t>
      </w:r>
      <w:proofErr w:type="spellEnd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Инструмент</w:t>
      </w:r>
      <w:proofErr w:type="spellEnd"/>
      <w:r w:rsidR="007403DA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7403DA" w:rsidRPr="007E3974" w:rsidRDefault="00F826BC" w:rsidP="007E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Офіційний сайт «</w:t>
      </w:r>
      <w:proofErr w:type="spellStart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Haas</w:t>
      </w:r>
      <w:proofErr w:type="spellEnd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Automation</w:t>
      </w:r>
      <w:proofErr w:type="spellEnd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Inc</w:t>
      </w:r>
      <w:proofErr w:type="spellEnd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 </w:t>
      </w:r>
      <w:hyperlink r:id="rId11" w:history="1">
        <w:r w:rsidR="005E0F2C" w:rsidRPr="007E397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www.haascnc.com/</w:t>
        </w:r>
      </w:hyperlink>
    </w:p>
    <w:p w:rsidR="005E0F2C" w:rsidRPr="007E3974" w:rsidRDefault="00F826BC" w:rsidP="007E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Офіційний сайт  «</w:t>
      </w:r>
      <w:proofErr w:type="spellStart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Инновационно-технологический</w:t>
      </w:r>
      <w:proofErr w:type="spellEnd"/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 ФГБОУ ВО "</w:t>
      </w:r>
      <w:hyperlink r:id="rId12" w:history="1">
        <w:r w:rsidR="005E0F2C" w:rsidRPr="007E3974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Пензенский государственный университет</w:t>
        </w:r>
      </w:hyperlink>
      <w:r w:rsidR="005E0F2C" w:rsidRPr="007E3974">
        <w:rPr>
          <w:rFonts w:ascii="Times New Roman" w:eastAsia="Times New Roman" w:hAnsi="Times New Roman" w:cs="Times New Roman"/>
          <w:sz w:val="24"/>
          <w:szCs w:val="24"/>
          <w:lang w:eastAsia="uk-UA"/>
        </w:rPr>
        <w:t>"» http://itc.pnzgu.ru</w:t>
      </w:r>
    </w:p>
    <w:sectPr w:rsidR="005E0F2C" w:rsidRPr="007E3974" w:rsidSect="00F826BC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C3FA7"/>
    <w:multiLevelType w:val="hybridMultilevel"/>
    <w:tmpl w:val="6B5E6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1DA0"/>
    <w:rsid w:val="00171D19"/>
    <w:rsid w:val="00201A5B"/>
    <w:rsid w:val="002333BB"/>
    <w:rsid w:val="002A3121"/>
    <w:rsid w:val="0031418D"/>
    <w:rsid w:val="003B0AE2"/>
    <w:rsid w:val="003E2A1B"/>
    <w:rsid w:val="00417EA3"/>
    <w:rsid w:val="00482DD4"/>
    <w:rsid w:val="005A730A"/>
    <w:rsid w:val="005D05F5"/>
    <w:rsid w:val="005E0F2C"/>
    <w:rsid w:val="006E4587"/>
    <w:rsid w:val="00716C8C"/>
    <w:rsid w:val="007403DA"/>
    <w:rsid w:val="007C6078"/>
    <w:rsid w:val="007E3974"/>
    <w:rsid w:val="00813C0F"/>
    <w:rsid w:val="008F1DA0"/>
    <w:rsid w:val="009D520C"/>
    <w:rsid w:val="00B40160"/>
    <w:rsid w:val="00B75BFE"/>
    <w:rsid w:val="00D91019"/>
    <w:rsid w:val="00D961AE"/>
    <w:rsid w:val="00DF02B7"/>
    <w:rsid w:val="00E55E48"/>
    <w:rsid w:val="00EF7924"/>
    <w:rsid w:val="00F06302"/>
    <w:rsid w:val="00F20266"/>
    <w:rsid w:val="00F826BC"/>
    <w:rsid w:val="00FC602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96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61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403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E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B0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3B0AE2"/>
    <w:rPr>
      <w:b/>
      <w:bCs/>
    </w:rPr>
  </w:style>
  <w:style w:type="character" w:customStyle="1" w:styleId="apple-converted-space">
    <w:name w:val="apple-converted-space"/>
    <w:basedOn w:val="a0"/>
    <w:rsid w:val="003B0AE2"/>
  </w:style>
  <w:style w:type="character" w:styleId="aa">
    <w:name w:val="Hyperlink"/>
    <w:basedOn w:val="a0"/>
    <w:uiPriority w:val="99"/>
    <w:unhideWhenUsed/>
    <w:rsid w:val="005E0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961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961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403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nzg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aascnc.com/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4915</Words>
  <Characters>2803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Брухаль Андрей</dc:creator>
  <cp:lastModifiedBy>Frolov</cp:lastModifiedBy>
  <cp:revision>4</cp:revision>
  <dcterms:created xsi:type="dcterms:W3CDTF">2017-05-04T06:42:00Z</dcterms:created>
  <dcterms:modified xsi:type="dcterms:W3CDTF">2017-05-04T06:44:00Z</dcterms:modified>
</cp:coreProperties>
</file>